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3CDDB" w14:textId="02AED75F" w:rsidR="00EC35D4" w:rsidRPr="000B36B8" w:rsidRDefault="00B21625" w:rsidP="00B21625">
      <w:pPr>
        <w:jc w:val="right"/>
        <w:rPr>
          <w:rFonts w:ascii="Verdana" w:hAnsi="Verdana"/>
          <w:sz w:val="20"/>
          <w:szCs w:val="20"/>
          <w:lang w:val="ro-RO"/>
        </w:rPr>
      </w:pPr>
      <w:r w:rsidRPr="000B36B8">
        <w:rPr>
          <w:rFonts w:ascii="Verdana" w:hAnsi="Verdana"/>
          <w:sz w:val="20"/>
          <w:szCs w:val="20"/>
          <w:lang w:val="ro-RO"/>
        </w:rPr>
        <w:t xml:space="preserve">Anexa </w:t>
      </w:r>
      <w:r w:rsidR="00132DCE">
        <w:rPr>
          <w:rFonts w:ascii="Verdana" w:hAnsi="Verdana"/>
          <w:sz w:val="20"/>
          <w:szCs w:val="20"/>
          <w:lang w:val="ro-RO"/>
        </w:rPr>
        <w:t>2.2</w:t>
      </w:r>
    </w:p>
    <w:p w14:paraId="2FAB6A3A" w14:textId="77777777" w:rsidR="00B21625" w:rsidRPr="000B36B8" w:rsidRDefault="00B21625" w:rsidP="00B21625">
      <w:pPr>
        <w:jc w:val="right"/>
        <w:rPr>
          <w:rFonts w:ascii="Verdana" w:hAnsi="Verdana"/>
          <w:sz w:val="20"/>
          <w:szCs w:val="20"/>
          <w:lang w:val="ro-RO"/>
        </w:rPr>
      </w:pPr>
    </w:p>
    <w:p w14:paraId="342945E6" w14:textId="0110F4FC" w:rsidR="00B21625" w:rsidRPr="000B36B8" w:rsidRDefault="007115CA" w:rsidP="00160EAC">
      <w:pPr>
        <w:jc w:val="center"/>
        <w:rPr>
          <w:rFonts w:ascii="Verdana" w:hAnsi="Verdana"/>
          <w:sz w:val="20"/>
          <w:szCs w:val="20"/>
          <w:lang w:val="ro-RO"/>
        </w:rPr>
      </w:pPr>
      <w:r>
        <w:rPr>
          <w:rFonts w:ascii="Verdana" w:hAnsi="Verdana"/>
          <w:sz w:val="20"/>
          <w:szCs w:val="20"/>
          <w:lang w:val="ro-RO"/>
        </w:rPr>
        <w:t>Declarație</w:t>
      </w:r>
      <w:r w:rsidR="008057BE">
        <w:rPr>
          <w:rFonts w:ascii="Verdana" w:hAnsi="Verdana"/>
          <w:sz w:val="20"/>
          <w:szCs w:val="20"/>
          <w:lang w:val="ro-RO"/>
        </w:rPr>
        <w:t xml:space="preserve"> privind criteriile eliminatorii de conformitate</w:t>
      </w:r>
      <w:r w:rsidR="00441029">
        <w:rPr>
          <w:rFonts w:ascii="Verdana" w:hAnsi="Verdana"/>
          <w:sz w:val="20"/>
          <w:szCs w:val="20"/>
          <w:lang w:val="ro-RO"/>
        </w:rPr>
        <w:t xml:space="preserve"> pentru In</w:t>
      </w:r>
      <w:r w:rsidR="00B1176C">
        <w:rPr>
          <w:rFonts w:ascii="Verdana" w:hAnsi="Verdana"/>
          <w:sz w:val="20"/>
          <w:szCs w:val="20"/>
          <w:lang w:val="ro-RO"/>
        </w:rPr>
        <w:t>termediarii</w:t>
      </w:r>
      <w:r w:rsidR="00441029">
        <w:rPr>
          <w:rFonts w:ascii="Verdana" w:hAnsi="Verdana"/>
          <w:sz w:val="20"/>
          <w:szCs w:val="20"/>
          <w:lang w:val="ro-RO"/>
        </w:rPr>
        <w:t xml:space="preserve"> financiar</w:t>
      </w:r>
      <w:r w:rsidR="00B1176C">
        <w:rPr>
          <w:rFonts w:ascii="Verdana" w:hAnsi="Verdana"/>
          <w:sz w:val="20"/>
          <w:szCs w:val="20"/>
          <w:lang w:val="ro-RO"/>
        </w:rPr>
        <w:t>i</w:t>
      </w:r>
    </w:p>
    <w:p w14:paraId="44767A70" w14:textId="77777777" w:rsidR="00483BE1" w:rsidRPr="000F5321" w:rsidRDefault="00483BE1" w:rsidP="00483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kern w:val="0"/>
          <w:sz w:val="20"/>
          <w:szCs w:val="20"/>
          <w:lang w:val="ro-RO"/>
        </w:rPr>
      </w:pPr>
      <w:r w:rsidRPr="000F5321">
        <w:rPr>
          <w:rFonts w:ascii="Verdana" w:hAnsi="Verdana" w:cs="TimesNewRomanPSMT"/>
          <w:kern w:val="0"/>
          <w:sz w:val="20"/>
          <w:szCs w:val="20"/>
          <w:lang w:val="ro-RO"/>
        </w:rPr>
        <w:t xml:space="preserve">Subsemnatul/Subsemnata, …………, identificat/identificată cu actul de identitate seria ……., nr. ……, eliberat de …….. la data de ………, cu domiciliul în localitatea …………., </w:t>
      </w:r>
      <w:proofErr w:type="spellStart"/>
      <w:r w:rsidRPr="000F5321">
        <w:rPr>
          <w:rFonts w:ascii="Verdana" w:hAnsi="Verdana" w:cs="TimesNewRomanPSMT"/>
          <w:kern w:val="0"/>
          <w:sz w:val="20"/>
          <w:szCs w:val="20"/>
          <w:lang w:val="ro-RO"/>
        </w:rPr>
        <w:t>str</w:t>
      </w:r>
      <w:proofErr w:type="spellEnd"/>
      <w:r w:rsidRPr="000F5321">
        <w:rPr>
          <w:rFonts w:ascii="Verdana" w:hAnsi="Verdana" w:cs="TimesNewRomanPSMT"/>
          <w:kern w:val="0"/>
          <w:sz w:val="20"/>
          <w:szCs w:val="20"/>
          <w:lang w:val="ro-RO"/>
        </w:rPr>
        <w:t>…………….., nr……………, bl. ……….sc. ………….. ap…………. sectorul/județul ……………,</w:t>
      </w:r>
    </w:p>
    <w:p w14:paraId="1043EED6" w14:textId="03D4E074" w:rsidR="00483BE1" w:rsidRPr="000F5321" w:rsidRDefault="00483BE1" w:rsidP="00483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kern w:val="0"/>
          <w:sz w:val="20"/>
          <w:szCs w:val="20"/>
          <w:lang w:val="ro-RO"/>
        </w:rPr>
      </w:pPr>
      <w:r w:rsidRPr="000F5321">
        <w:rPr>
          <w:rFonts w:ascii="Verdana" w:hAnsi="Verdana" w:cs="TimesNewRomanPSMT"/>
          <w:kern w:val="0"/>
          <w:sz w:val="20"/>
          <w:szCs w:val="20"/>
          <w:lang w:val="ro-RO"/>
        </w:rPr>
        <w:t>în calitate de reprezentant</w:t>
      </w:r>
      <w:r w:rsidR="38B4FC7A" w:rsidRPr="000F5321">
        <w:rPr>
          <w:rFonts w:ascii="Verdana" w:hAnsi="Verdana" w:cs="TimesNewRomanPSMT"/>
          <w:kern w:val="0"/>
          <w:sz w:val="20"/>
          <w:szCs w:val="20"/>
          <w:lang w:val="ro-RO"/>
        </w:rPr>
        <w:t>/</w:t>
      </w:r>
      <w:r w:rsidR="0035433B" w:rsidRPr="000F5321">
        <w:rPr>
          <w:rFonts w:ascii="Verdana" w:hAnsi="Verdana" w:cs="TimesNewRomanPSMT"/>
          <w:kern w:val="0"/>
          <w:sz w:val="20"/>
          <w:szCs w:val="20"/>
          <w:lang w:val="ro-RO"/>
        </w:rPr>
        <w:t>împuternicit</w:t>
      </w:r>
      <w:r w:rsidRPr="000F5321">
        <w:rPr>
          <w:rFonts w:ascii="Verdana" w:hAnsi="Verdana" w:cs="TimesNewRomanPSMT"/>
          <w:kern w:val="0"/>
          <w:sz w:val="20"/>
          <w:szCs w:val="20"/>
          <w:lang w:val="ro-RO"/>
        </w:rPr>
        <w:t xml:space="preserve"> al ………………, CUI</w:t>
      </w:r>
      <w:r w:rsidR="71F284B5" w:rsidRPr="000F5321">
        <w:rPr>
          <w:rFonts w:ascii="Verdana" w:hAnsi="Verdana" w:cs="TimesNewRomanPSMT"/>
          <w:kern w:val="0"/>
          <w:sz w:val="20"/>
          <w:szCs w:val="20"/>
          <w:lang w:val="ro-RO"/>
        </w:rPr>
        <w:t xml:space="preserve"> </w:t>
      </w:r>
      <w:r w:rsidR="71F284B5" w:rsidRPr="7225A35F">
        <w:rPr>
          <w:rFonts w:ascii="Verdana" w:hAnsi="Verdana" w:cs="TimesNewRomanPSMT"/>
          <w:sz w:val="20"/>
          <w:szCs w:val="20"/>
          <w:lang w:val="ro-RO"/>
        </w:rPr>
        <w:t>……</w:t>
      </w:r>
      <w:r w:rsidRPr="000F5321">
        <w:rPr>
          <w:rFonts w:ascii="Verdana" w:hAnsi="Verdana" w:cs="TimesNewRomanPSMT"/>
          <w:kern w:val="0"/>
          <w:sz w:val="20"/>
          <w:szCs w:val="20"/>
          <w:lang w:val="ro-RO"/>
        </w:rPr>
        <w:t xml:space="preserve">, adresa sediului </w:t>
      </w:r>
      <w:r w:rsidR="00E15420">
        <w:rPr>
          <w:rFonts w:ascii="Verdana" w:hAnsi="Verdana" w:cs="TimesNewRomanPSMT"/>
          <w:kern w:val="0"/>
          <w:sz w:val="20"/>
          <w:szCs w:val="20"/>
          <w:lang w:val="ro-RO"/>
        </w:rPr>
        <w:t>.......................................</w:t>
      </w:r>
    </w:p>
    <w:p w14:paraId="192E3A8C" w14:textId="77777777" w:rsidR="00483BE1" w:rsidRPr="000F5321" w:rsidRDefault="00483BE1" w:rsidP="00483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kern w:val="0"/>
          <w:sz w:val="20"/>
          <w:szCs w:val="20"/>
          <w:lang w:val="ro-RO"/>
        </w:rPr>
      </w:pPr>
      <w:r w:rsidRPr="000F5321">
        <w:rPr>
          <w:rFonts w:ascii="Verdana" w:hAnsi="Verdana" w:cs="TimesNewRomanPSMT"/>
          <w:kern w:val="0"/>
          <w:sz w:val="20"/>
          <w:szCs w:val="20"/>
          <w:lang w:val="ro-RO"/>
        </w:rPr>
        <w:t xml:space="preserve">declar pe propria răspundere, </w:t>
      </w:r>
      <w:r w:rsidRPr="000F5321">
        <w:rPr>
          <w:rFonts w:ascii="Verdana" w:eastAsia="Verdana" w:hAnsi="Verdana" w:cs="Verdana"/>
          <w:sz w:val="20"/>
          <w:szCs w:val="20"/>
          <w:lang w:val="ro-RO"/>
        </w:rPr>
        <w:t>sub sancțiunile aplicate faptei de fals în declarații prevăzute de Legea nr. 286/2009 privind Codul penal, cu modificările și completările ulterioare,</w:t>
      </w:r>
      <w:r w:rsidRPr="000F5321">
        <w:rPr>
          <w:rFonts w:ascii="Verdana" w:hAnsi="Verdana" w:cs="TimesNewRomanPSMT"/>
          <w:kern w:val="0"/>
          <w:sz w:val="20"/>
          <w:szCs w:val="20"/>
          <w:lang w:val="ro-RO"/>
        </w:rPr>
        <w:t xml:space="preserve"> că toate informațiile furnizate și consemnate în prezenta declarație sunt corecte și complete.</w:t>
      </w:r>
    </w:p>
    <w:p w14:paraId="1D88C62F" w14:textId="77777777" w:rsidR="00483BE1" w:rsidRPr="000F5321" w:rsidRDefault="00483BE1" w:rsidP="00483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kern w:val="0"/>
          <w:sz w:val="20"/>
          <w:szCs w:val="20"/>
          <w:lang w:val="ro-RO"/>
        </w:rPr>
      </w:pPr>
    </w:p>
    <w:p w14:paraId="2327AAD4" w14:textId="2633CC11" w:rsidR="00483BE1" w:rsidRPr="000F5321" w:rsidRDefault="00861EE7" w:rsidP="00483BE1">
      <w:pPr>
        <w:rPr>
          <w:rFonts w:ascii="Verdana" w:hAnsi="Verdana"/>
          <w:sz w:val="20"/>
          <w:szCs w:val="20"/>
          <w:lang w:val="ro-RO"/>
        </w:rPr>
      </w:pPr>
      <w:r>
        <w:rPr>
          <w:rFonts w:ascii="Verdana" w:hAnsi="Verdana"/>
          <w:sz w:val="20"/>
          <w:szCs w:val="20"/>
          <w:lang w:val="ro-RO"/>
        </w:rPr>
        <w:t>Entitatea</w:t>
      </w:r>
      <w:r w:rsidR="00483BE1" w:rsidRPr="0C5E2686">
        <w:rPr>
          <w:rFonts w:ascii="Verdana" w:hAnsi="Verdana"/>
          <w:sz w:val="20"/>
          <w:szCs w:val="20"/>
          <w:lang w:val="ro-RO"/>
        </w:rPr>
        <w:t xml:space="preserve"> ________________________________,</w:t>
      </w:r>
    </w:p>
    <w:p w14:paraId="0A156DC5" w14:textId="77777777" w:rsidR="0052353F" w:rsidRPr="000B36B8" w:rsidRDefault="0052353F">
      <w:pPr>
        <w:rPr>
          <w:rFonts w:ascii="Verdana" w:hAnsi="Verdana"/>
          <w:sz w:val="20"/>
          <w:szCs w:val="20"/>
          <w:lang w:val="ro-RO"/>
        </w:rPr>
      </w:pPr>
    </w:p>
    <w:tbl>
      <w:tblPr>
        <w:tblW w:w="9540" w:type="dxa"/>
        <w:tblInd w:w="-275" w:type="dxa"/>
        <w:tblLook w:val="04A0" w:firstRow="1" w:lastRow="0" w:firstColumn="1" w:lastColumn="0" w:noHBand="0" w:noVBand="1"/>
      </w:tblPr>
      <w:tblGrid>
        <w:gridCol w:w="1015"/>
        <w:gridCol w:w="8525"/>
      </w:tblGrid>
      <w:tr w:rsidR="00525233" w:rsidRPr="000B36B8" w14:paraId="374FA89B" w14:textId="77777777" w:rsidTr="269FFFB7">
        <w:trPr>
          <w:trHeight w:val="312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center"/>
            <w:hideMark/>
          </w:tcPr>
          <w:p w14:paraId="127D980F" w14:textId="19823B46" w:rsidR="00525233" w:rsidRPr="000B36B8" w:rsidRDefault="00525233" w:rsidP="0052353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</w:p>
        </w:tc>
        <w:tc>
          <w:tcPr>
            <w:tcW w:w="8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14:paraId="773F224E" w14:textId="26B45548" w:rsidR="00525233" w:rsidRPr="000B36B8" w:rsidRDefault="00525233" w:rsidP="0052353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proofErr w:type="spellStart"/>
            <w:r w:rsidRPr="000B36B8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C</w:t>
            </w:r>
            <w:r w:rsidR="007211D9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erinte</w:t>
            </w:r>
            <w:proofErr w:type="spellEnd"/>
            <w:r w:rsidRPr="000B36B8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="003F3A12" w:rsidRPr="000B36B8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eligibilitate</w:t>
            </w:r>
          </w:p>
        </w:tc>
      </w:tr>
      <w:tr w:rsidR="00525233" w:rsidRPr="003B4A7E" w14:paraId="094E4F00" w14:textId="77777777" w:rsidTr="269FFFB7">
        <w:trPr>
          <w:trHeight w:val="404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center"/>
            <w:hideMark/>
          </w:tcPr>
          <w:p w14:paraId="060412C9" w14:textId="77777777" w:rsidR="00525233" w:rsidRPr="000B36B8" w:rsidRDefault="00525233" w:rsidP="0052353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1</w:t>
            </w:r>
          </w:p>
        </w:tc>
        <w:tc>
          <w:tcPr>
            <w:tcW w:w="8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5FA4" w14:textId="24A35B48" w:rsidR="00525233" w:rsidRPr="000B36B8" w:rsidRDefault="00525233" w:rsidP="00E8513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Este </w:t>
            </w:r>
            <w:r w:rsidR="003F3A1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înregistrată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, </w:t>
            </w:r>
            <w:r w:rsidR="5CEC46F4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rezidentă, 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autorizat</w:t>
            </w:r>
            <w:r w:rsidR="00D879D8" w:rsidRPr="000F5321">
              <w:rPr>
                <w:rFonts w:ascii="Verdana" w:hAnsi="Verdana"/>
                <w:sz w:val="20"/>
                <w:szCs w:val="20"/>
                <w:lang w:val="ro-RO"/>
              </w:rPr>
              <w:t>ă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="2F305F1A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ș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i </w:t>
            </w:r>
            <w:r w:rsidR="003F3A1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operează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="65CA86DE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î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n Rom</w:t>
            </w:r>
            <w:r w:rsidR="741D2F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ân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ia.</w:t>
            </w:r>
          </w:p>
        </w:tc>
      </w:tr>
      <w:tr w:rsidR="00525233" w:rsidRPr="000B36B8" w14:paraId="229B1757" w14:textId="77777777" w:rsidTr="269FFFB7">
        <w:trPr>
          <w:trHeight w:val="2060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center"/>
            <w:hideMark/>
          </w:tcPr>
          <w:p w14:paraId="1C396AAD" w14:textId="77777777" w:rsidR="00525233" w:rsidRPr="000B36B8" w:rsidRDefault="00525233" w:rsidP="0052353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2</w:t>
            </w:r>
          </w:p>
        </w:tc>
        <w:tc>
          <w:tcPr>
            <w:tcW w:w="8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21C22" w14:textId="7AA15002" w:rsidR="00525233" w:rsidRPr="000B36B8" w:rsidRDefault="00525233" w:rsidP="70C45EE7">
            <w:pPr>
              <w:spacing w:after="0" w:line="240" w:lineRule="auto"/>
              <w:rPr>
                <w:rFonts w:ascii="Verdana" w:eastAsia="Times New Roman" w:hAnsi="Verdana" w:cs="Calibri"/>
                <w:color w:val="000000" w:themeColor="text1"/>
                <w:sz w:val="20"/>
                <w:szCs w:val="20"/>
                <w:lang w:val="ro-RO"/>
              </w:rPr>
            </w:pP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Nu este subiect al masurilor restrictive, precum si nici o persoana, entitate din </w:t>
            </w:r>
            <w:r w:rsidR="003F3A1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lanțul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sau de proprietate, inclusiv </w:t>
            </w:r>
            <w:r w:rsidR="003F3A1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acționarii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, beneficiarul/beneficiarii reali nu sunt. Masurile restrictive include orice </w:t>
            </w:r>
            <w:r w:rsidR="003F3A1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sancțiuni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economice sau financiare </w:t>
            </w:r>
            <w:r w:rsidR="003F3A1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adoptate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de:  1. EU - European Union;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br/>
              <w:t xml:space="preserve">2. UN - United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Nations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;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br/>
              <w:t xml:space="preserve">3. OFAC - United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States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Department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of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of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the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Treasury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Office of Foreign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Assets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Control;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br/>
              <w:t xml:space="preserve">4. UK, OFSI - The Office of Financial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Sanctions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Implementation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of His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Majesty's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Treasury</w:t>
            </w:r>
            <w:proofErr w:type="spellEnd"/>
            <w:r w:rsidR="5F747F66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,</w:t>
            </w:r>
          </w:p>
          <w:p w14:paraId="61BE20C0" w14:textId="1C9F55C4" w:rsidR="00525233" w:rsidRPr="000B36B8" w:rsidRDefault="5F747F66" w:rsidP="00E8513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5. România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.</w:t>
            </w:r>
          </w:p>
        </w:tc>
      </w:tr>
      <w:tr w:rsidR="00525233" w:rsidRPr="000B36B8" w14:paraId="13B30F1C" w14:textId="77777777" w:rsidTr="269FFFB7">
        <w:trPr>
          <w:trHeight w:val="3023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center"/>
            <w:hideMark/>
          </w:tcPr>
          <w:p w14:paraId="32DB2AF7" w14:textId="77777777" w:rsidR="00525233" w:rsidRPr="000B36B8" w:rsidRDefault="00525233" w:rsidP="0052353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3</w:t>
            </w:r>
          </w:p>
        </w:tc>
        <w:tc>
          <w:tcPr>
            <w:tcW w:w="8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6B5BE" w14:textId="77777777" w:rsidR="00DB06AE" w:rsidRDefault="003F3A12" w:rsidP="00E8513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Acționarii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, beneficiarul/beneficiarii reali sau 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entitățile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din 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lanțul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de proprietate, nu sunt 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înregistrați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/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rezidenți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in 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Jurisdicții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Non-Conforme. 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Jurisdicții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Non-Conforme sunt acele 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jurisdicții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cum sunt 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determinate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de: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br/>
              <w:t xml:space="preserve">1. Consiliul Europei -Lista 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jurisdicțiilor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non-cooperante in scopuri fiscale;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br/>
              <w:t xml:space="preserve">2. OECD/G20 - Lista 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jurisdicțiilor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care nu au implementat în mod satisfăcător standardele de transparență fiscală;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br/>
              <w:t>3. Listate in Anexa la REGULAMENTUL DELEGAT (UE) 2016/1675 AL COMISIEI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br/>
              <w:t xml:space="preserve">din 14 iulie 2016 de completare a Directivei (UE) 2015/849 a Parlamentului European și a Consiliului prin identificarea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țărilor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terțe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cu un grad ridicat de risc care au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deficiențe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strategice;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br/>
              <w:t xml:space="preserve">4.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Jurisdicții</w:t>
            </w:r>
            <w:r w:rsidR="00525233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incluse pe Listele FATF: </w:t>
            </w:r>
          </w:p>
          <w:p w14:paraId="21E739AE" w14:textId="77777777" w:rsidR="00DB06AE" w:rsidRDefault="00525233" w:rsidP="00DB06AE">
            <w:pPr>
              <w:spacing w:after="0" w:line="240" w:lineRule="auto"/>
              <w:ind w:left="318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a)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High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Risk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Jurisdictions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subject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to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Call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for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Action</w:t>
            </w:r>
            <w:proofErr w:type="spellEnd"/>
            <w:r w:rsidR="008927F9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;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</w:p>
          <w:p w14:paraId="1621EB04" w14:textId="77777777" w:rsidR="00DB06AE" w:rsidRDefault="00525233" w:rsidP="00DB06AE">
            <w:pPr>
              <w:spacing w:after="0" w:line="240" w:lineRule="auto"/>
              <w:ind w:left="318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b)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Jurisdictions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under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proofErr w:type="spellStart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Increased</w:t>
            </w:r>
            <w:proofErr w:type="spellEnd"/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Monitoring</w:t>
            </w:r>
            <w:r w:rsidR="008927F9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;</w:t>
            </w:r>
            <w:r w:rsidR="00D667A7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</w:p>
          <w:p w14:paraId="1D0C0EB7" w14:textId="6F386FF0" w:rsidR="00525233" w:rsidRPr="000B36B8" w:rsidRDefault="00D667A7" w:rsidP="00DB06AE">
            <w:pPr>
              <w:spacing w:after="0" w:line="240" w:lineRule="auto"/>
              <w:ind w:left="318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c) </w:t>
            </w:r>
            <w:r w:rsidR="008927F9" w:rsidRPr="008927F9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Cuba, Iran, Coreea de Nord, Sudan, Sudanul de Sud, Federația Rus</w:t>
            </w:r>
            <w:r w:rsidR="008927F9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ă</w:t>
            </w:r>
            <w:r w:rsidR="008927F9" w:rsidRPr="008927F9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="45F47726" w:rsidRPr="008927F9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sau </w:t>
            </w:r>
            <w:r w:rsidR="008927F9" w:rsidRPr="008927F9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Siria</w:t>
            </w:r>
            <w:r w:rsidR="008927F9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.</w:t>
            </w:r>
          </w:p>
        </w:tc>
      </w:tr>
      <w:tr w:rsidR="00525233" w:rsidRPr="003B4A7E" w14:paraId="6D45DAC0" w14:textId="77777777" w:rsidTr="269FFFB7">
        <w:trPr>
          <w:trHeight w:val="61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center"/>
            <w:hideMark/>
          </w:tcPr>
          <w:p w14:paraId="57576BD4" w14:textId="77777777" w:rsidR="00525233" w:rsidRPr="000B36B8" w:rsidRDefault="00525233" w:rsidP="0052353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4</w:t>
            </w:r>
          </w:p>
        </w:tc>
        <w:tc>
          <w:tcPr>
            <w:tcW w:w="8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088DE" w14:textId="404856BC" w:rsidR="00525233" w:rsidRPr="000B36B8" w:rsidRDefault="00525233" w:rsidP="00E8513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Nu este in faliment sau insolventa, nu are activitatea administrat</w:t>
            </w:r>
            <w:r w:rsidR="00C96D9A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ă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de un lichidator numit in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condițiile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legii.</w:t>
            </w:r>
          </w:p>
        </w:tc>
      </w:tr>
      <w:tr w:rsidR="00525233" w:rsidRPr="003B4A7E" w14:paraId="5F69033A" w14:textId="77777777" w:rsidTr="269FFFB7">
        <w:trPr>
          <w:trHeight w:val="1169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center"/>
            <w:hideMark/>
          </w:tcPr>
          <w:p w14:paraId="2BE5D6B0" w14:textId="77777777" w:rsidR="00525233" w:rsidRPr="000B36B8" w:rsidRDefault="00525233" w:rsidP="0052353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5</w:t>
            </w:r>
          </w:p>
        </w:tc>
        <w:tc>
          <w:tcPr>
            <w:tcW w:w="8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9D6CF" w14:textId="6A863947" w:rsidR="00525233" w:rsidRPr="000B36B8" w:rsidRDefault="00525233" w:rsidP="00E8513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In ultimii 5 ani nu a fost condamnata sau in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privința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căreia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 nu a fost emisa o decizie administrativa finala, pentru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încălcarea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obligațiilor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de plata a taxelor, impozitelor, sau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contribuțiilor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sociale, in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condițiile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legii si aceste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obligații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au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rămas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neplătite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, cu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excepția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cazului in care un aranjament de plata a fost semnat. </w:t>
            </w:r>
          </w:p>
        </w:tc>
      </w:tr>
      <w:tr w:rsidR="00525233" w:rsidRPr="003B4A7E" w14:paraId="4536A6B8" w14:textId="77777777" w:rsidTr="269FFFB7">
        <w:trPr>
          <w:trHeight w:val="1644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center"/>
            <w:hideMark/>
          </w:tcPr>
          <w:p w14:paraId="5AADB145" w14:textId="77777777" w:rsidR="00525233" w:rsidRPr="000B36B8" w:rsidRDefault="00525233" w:rsidP="0052353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lastRenderedPageBreak/>
              <w:t>6</w:t>
            </w:r>
          </w:p>
        </w:tc>
        <w:tc>
          <w:tcPr>
            <w:tcW w:w="8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67ECE" w14:textId="437EDF67" w:rsidR="00525233" w:rsidRPr="000B36B8" w:rsidRDefault="00525233" w:rsidP="00E8513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In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ultimii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5 ani, ace</w:t>
            </w:r>
            <w:r w:rsidR="5A5F0BB9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a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sta, sau orice persoana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împuternicită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s</w:t>
            </w:r>
            <w:r w:rsidR="005119E2" w:rsidRPr="000B36B8">
              <w:rPr>
                <w:rFonts w:ascii="Verdana" w:hAnsi="Verdana"/>
                <w:sz w:val="20"/>
                <w:szCs w:val="20"/>
                <w:lang w:val="ro-RO"/>
              </w:rPr>
              <w:t>ă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o reprezinte, persoanele cu drept de decizie sau care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dețin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control asupra acesteia, nu au fost condamnate, sau in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privința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cărora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nu a fost emisa o decizie administrativa finala pentru 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încălcări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grave de conduita profesionala,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când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aceasta conduita denota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intenția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vădită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si/sau neglijenta grava in exercitarea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activității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si/sau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responsabilităților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de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funcție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.</w:t>
            </w:r>
          </w:p>
        </w:tc>
      </w:tr>
      <w:tr w:rsidR="00525233" w:rsidRPr="003B4A7E" w14:paraId="4032D5C2" w14:textId="77777777" w:rsidTr="269FFFB7">
        <w:trPr>
          <w:trHeight w:val="2510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center"/>
            <w:hideMark/>
          </w:tcPr>
          <w:p w14:paraId="5CA6B390" w14:textId="77777777" w:rsidR="00525233" w:rsidRPr="000B36B8" w:rsidRDefault="00525233" w:rsidP="0052353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7</w:t>
            </w:r>
          </w:p>
        </w:tc>
        <w:tc>
          <w:tcPr>
            <w:tcW w:w="8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38989" w14:textId="1DF6D5A6" w:rsidR="00525233" w:rsidRPr="000B36B8" w:rsidRDefault="00525233" w:rsidP="00E8513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In ultimii 5 ani, ace</w:t>
            </w:r>
            <w:r w:rsidR="58E4A69C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a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sta sau orice persoana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împuternicită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sa o reprezinte, persoanele cu drept de decizie sau care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dețin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control asupra acesteia, nu au fost subiectul unei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condamnări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finale privind: 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br/>
              <w:t>1. fraude;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br/>
              <w:t xml:space="preserve">2.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infracțiuni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de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corupție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si de serviciu;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br/>
              <w:t xml:space="preserve">3.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infracțiuni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fiscale, evaziunea fiscala; 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br/>
              <w:t>4. participare la un grup criminal;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br/>
              <w:t xml:space="preserve">5.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spălarea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banilor/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finanțarea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terorismului;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br/>
              <w:t xml:space="preserve">6. exploatarea muncii copiilor ori alta forma de exploatare sau trafic cu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ființe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umane.</w:t>
            </w:r>
          </w:p>
        </w:tc>
      </w:tr>
      <w:tr w:rsidR="00525233" w:rsidRPr="003B4A7E" w14:paraId="5F72410E" w14:textId="77777777" w:rsidTr="269FFFB7">
        <w:trPr>
          <w:trHeight w:val="899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center"/>
            <w:hideMark/>
          </w:tcPr>
          <w:p w14:paraId="793F4B84" w14:textId="77777777" w:rsidR="00525233" w:rsidRPr="000B36B8" w:rsidRDefault="00525233" w:rsidP="0052353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8</w:t>
            </w:r>
          </w:p>
        </w:tc>
        <w:tc>
          <w:tcPr>
            <w:tcW w:w="8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0F134" w14:textId="27424DBA" w:rsidR="00525233" w:rsidRPr="000B36B8" w:rsidRDefault="00525233" w:rsidP="00E8513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Nu este subiect al unei decizii de excludere ori subiect al unei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sancțiuni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financiare </w:t>
            </w:r>
            <w:r w:rsidR="005119E2"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așa</w:t>
            </w:r>
            <w:r w:rsidRPr="000B36B8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 xml:space="preserve"> cum sunt publicate pe Baza de date EDES (Lista operatorilor economici excluși sau cărora li se aplică sancțiuni financiare) pe pagina de internet a Comisiei Europene.</w:t>
            </w:r>
          </w:p>
        </w:tc>
      </w:tr>
      <w:tr w:rsidR="007B1A69" w:rsidRPr="000B36B8" w14:paraId="22CABC82" w14:textId="77777777" w:rsidTr="269FFFB7">
        <w:trPr>
          <w:trHeight w:val="602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center"/>
            <w:hideMark/>
          </w:tcPr>
          <w:p w14:paraId="5F103E12" w14:textId="7EAEBCAC" w:rsidR="007B1A69" w:rsidRPr="000B36B8" w:rsidRDefault="007B1A69" w:rsidP="00103B3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val="ro-RO"/>
                <w14:ligatures w14:val="none"/>
              </w:rPr>
              <w:t>9</w:t>
            </w:r>
          </w:p>
        </w:tc>
        <w:tc>
          <w:tcPr>
            <w:tcW w:w="8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F469B" w14:textId="5706F2FC" w:rsidR="007B1A69" w:rsidRPr="000B36B8" w:rsidRDefault="551FFDEE" w:rsidP="647E1A39">
            <w:pPr>
              <w:spacing w:before="240" w:after="240" w:line="240" w:lineRule="auto"/>
            </w:pPr>
            <w:r w:rsidRPr="269FFFB7">
              <w:rPr>
                <w:rFonts w:ascii="Verdana" w:eastAsia="Verdana" w:hAnsi="Verdana" w:cs="Verdana"/>
                <w:sz w:val="20"/>
                <w:szCs w:val="20"/>
                <w:lang w:val="ro-RO"/>
              </w:rPr>
              <w:t xml:space="preserve">Nu este subiectul unor măsuri impuse de autoritățile de supraveghere competente care </w:t>
            </w:r>
            <w:proofErr w:type="spellStart"/>
            <w:r w:rsidRPr="269FFFB7">
              <w:rPr>
                <w:rFonts w:ascii="Verdana" w:eastAsia="Verdana" w:hAnsi="Verdana" w:cs="Verdana"/>
                <w:sz w:val="20"/>
                <w:szCs w:val="20"/>
                <w:lang w:val="ro-RO"/>
              </w:rPr>
              <w:t>restrictioneaza</w:t>
            </w:r>
            <w:proofErr w:type="spellEnd"/>
            <w:r w:rsidRPr="269FFFB7">
              <w:rPr>
                <w:rFonts w:ascii="Verdana" w:eastAsia="Verdana" w:hAnsi="Verdana" w:cs="Verdana"/>
                <w:sz w:val="20"/>
                <w:szCs w:val="20"/>
                <w:lang w:val="ro-RO"/>
              </w:rPr>
              <w:t xml:space="preserve"> sau limitează activitatea de creditare, inclusiv creditarea întreprinderilor mici și mijlocii (IMM-uri).</w:t>
            </w:r>
          </w:p>
          <w:p w14:paraId="0D2A1740" w14:textId="13F1AB24" w:rsidR="007B1A69" w:rsidRPr="000B36B8" w:rsidRDefault="551FFDEE" w:rsidP="647E1A39">
            <w:pPr>
              <w:spacing w:before="240" w:after="240" w:line="240" w:lineRule="auto"/>
              <w:rPr>
                <w:rFonts w:ascii="Verdana" w:eastAsia="Verdana" w:hAnsi="Verdana" w:cs="Verdana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</w:pPr>
            <w:r w:rsidRPr="647E1A39">
              <w:rPr>
                <w:rFonts w:ascii="Verdana" w:eastAsia="Verdana" w:hAnsi="Verdana" w:cs="Verdana"/>
                <w:b/>
                <w:bCs/>
                <w:sz w:val="20"/>
                <w:szCs w:val="20"/>
                <w:lang w:val="ro-RO"/>
              </w:rPr>
              <w:t xml:space="preserve">Daca este cazul unor astfel de </w:t>
            </w:r>
            <w:proofErr w:type="spellStart"/>
            <w:r w:rsidRPr="647E1A39">
              <w:rPr>
                <w:rFonts w:ascii="Verdana" w:eastAsia="Verdana" w:hAnsi="Verdana" w:cs="Verdana"/>
                <w:b/>
                <w:bCs/>
                <w:sz w:val="20"/>
                <w:szCs w:val="20"/>
                <w:lang w:val="ro-RO"/>
              </w:rPr>
              <w:t>situatii</w:t>
            </w:r>
            <w:proofErr w:type="spellEnd"/>
            <w:r w:rsidRPr="647E1A39">
              <w:rPr>
                <w:rFonts w:ascii="Verdana" w:eastAsia="Verdana" w:hAnsi="Verdana" w:cs="Verdana"/>
                <w:b/>
                <w:bCs/>
                <w:sz w:val="20"/>
                <w:szCs w:val="20"/>
                <w:lang w:val="ro-RO"/>
              </w:rPr>
              <w:t xml:space="preserve">, va rugam </w:t>
            </w:r>
            <w:proofErr w:type="spellStart"/>
            <w:r w:rsidRPr="647E1A39">
              <w:rPr>
                <w:rFonts w:ascii="Verdana" w:eastAsia="Verdana" w:hAnsi="Verdana" w:cs="Verdana"/>
                <w:b/>
                <w:bCs/>
                <w:sz w:val="20"/>
                <w:szCs w:val="20"/>
                <w:lang w:val="ro-RO"/>
              </w:rPr>
              <w:t>detaliati</w:t>
            </w:r>
            <w:proofErr w:type="spellEnd"/>
            <w:r w:rsidRPr="647E1A39">
              <w:rPr>
                <w:rFonts w:ascii="Verdana" w:eastAsia="Verdana" w:hAnsi="Verdana" w:cs="Verdana"/>
                <w:b/>
                <w:bCs/>
                <w:sz w:val="20"/>
                <w:szCs w:val="20"/>
                <w:lang w:val="ro-RO"/>
              </w:rPr>
              <w:t>.</w:t>
            </w:r>
          </w:p>
        </w:tc>
      </w:tr>
    </w:tbl>
    <w:p w14:paraId="4DBC3AF1" w14:textId="77777777" w:rsidR="0052353F" w:rsidRDefault="0052353F">
      <w:pPr>
        <w:rPr>
          <w:rFonts w:ascii="Verdana" w:hAnsi="Verdana"/>
          <w:sz w:val="20"/>
          <w:szCs w:val="20"/>
          <w:lang w:val="ro-RO"/>
        </w:rPr>
      </w:pPr>
    </w:p>
    <w:p w14:paraId="1DBE9DC7" w14:textId="7C0CE028" w:rsidR="00E15420" w:rsidRPr="000F5321" w:rsidRDefault="00E15420" w:rsidP="00E15420">
      <w:pPr>
        <w:jc w:val="both"/>
        <w:rPr>
          <w:rFonts w:ascii="Verdana" w:hAnsi="Verdana"/>
          <w:sz w:val="20"/>
          <w:szCs w:val="20"/>
          <w:lang w:val="ro-RO"/>
        </w:rPr>
      </w:pPr>
      <w:r w:rsidRPr="7225A35F">
        <w:rPr>
          <w:rFonts w:ascii="Verdana" w:hAnsi="Verdana"/>
          <w:sz w:val="20"/>
          <w:szCs w:val="20"/>
          <w:lang w:val="ro-RO"/>
        </w:rPr>
        <w:t>Pe toată durata de valabilitate a</w:t>
      </w:r>
      <w:r w:rsidR="000D563B">
        <w:rPr>
          <w:rFonts w:ascii="Verdana" w:hAnsi="Verdana"/>
          <w:sz w:val="20"/>
          <w:szCs w:val="20"/>
          <w:lang w:val="ro-RO"/>
        </w:rPr>
        <w:t xml:space="preserve"> </w:t>
      </w:r>
      <w:proofErr w:type="spellStart"/>
      <w:r w:rsidR="000D563B">
        <w:rPr>
          <w:rFonts w:ascii="Verdana" w:hAnsi="Verdana"/>
          <w:sz w:val="20"/>
          <w:szCs w:val="20"/>
          <w:lang w:val="ro-RO"/>
        </w:rPr>
        <w:t>colaborarii</w:t>
      </w:r>
      <w:proofErr w:type="spellEnd"/>
      <w:r w:rsidRPr="7225A35F">
        <w:rPr>
          <w:rFonts w:ascii="Verdana" w:hAnsi="Verdana"/>
          <w:sz w:val="20"/>
          <w:szCs w:val="20"/>
          <w:lang w:val="ro-RO"/>
        </w:rPr>
        <w:t>, mă oblig să informez BID în termen de maxim 5 zile lucrătoare cu privire la orice modificări ale informațiilor declarate inițial.</w:t>
      </w:r>
    </w:p>
    <w:p w14:paraId="34B78C4C" w14:textId="77777777" w:rsidR="00E15420" w:rsidRPr="000F5321" w:rsidRDefault="00E15420" w:rsidP="00E15420">
      <w:pPr>
        <w:jc w:val="center"/>
        <w:rPr>
          <w:rFonts w:ascii="Verdana" w:hAnsi="Verdana"/>
          <w:sz w:val="20"/>
          <w:szCs w:val="20"/>
          <w:lang w:val="ro-RO"/>
        </w:rPr>
      </w:pPr>
    </w:p>
    <w:p w14:paraId="0F503B19" w14:textId="77777777" w:rsidR="007A3211" w:rsidRPr="007A3211" w:rsidRDefault="007A3211" w:rsidP="007115CA">
      <w:pPr>
        <w:rPr>
          <w:rFonts w:ascii="Verdana" w:hAnsi="Verdana"/>
          <w:sz w:val="20"/>
          <w:szCs w:val="20"/>
          <w:lang w:val="ro-RO"/>
        </w:rPr>
      </w:pPr>
      <w:r w:rsidRPr="007A3211">
        <w:rPr>
          <w:rFonts w:ascii="Verdana" w:hAnsi="Verdana"/>
          <w:sz w:val="20"/>
          <w:szCs w:val="20"/>
          <w:lang w:val="ro-RO"/>
        </w:rPr>
        <w:t>Nume complet: ....................................................</w:t>
      </w:r>
    </w:p>
    <w:p w14:paraId="13F7D5B9" w14:textId="77777777" w:rsidR="007A3211" w:rsidRPr="007A3211" w:rsidRDefault="007A3211" w:rsidP="007115CA">
      <w:pPr>
        <w:rPr>
          <w:rFonts w:ascii="Verdana" w:hAnsi="Verdana"/>
          <w:sz w:val="20"/>
          <w:szCs w:val="20"/>
          <w:lang w:val="ro-RO"/>
        </w:rPr>
      </w:pPr>
      <w:r w:rsidRPr="007A3211">
        <w:rPr>
          <w:rFonts w:ascii="Verdana" w:hAnsi="Verdana"/>
          <w:sz w:val="20"/>
          <w:szCs w:val="20"/>
          <w:lang w:val="ro-RO"/>
        </w:rPr>
        <w:t>Funcție: ....................................................</w:t>
      </w:r>
    </w:p>
    <w:p w14:paraId="0A36DE6E" w14:textId="77777777" w:rsidR="007A3211" w:rsidRPr="007A3211" w:rsidRDefault="007A3211" w:rsidP="007115CA">
      <w:pPr>
        <w:rPr>
          <w:rFonts w:ascii="Verdana" w:hAnsi="Verdana"/>
          <w:sz w:val="20"/>
          <w:szCs w:val="20"/>
          <w:lang w:val="ro-RO"/>
        </w:rPr>
      </w:pPr>
      <w:r w:rsidRPr="007A3211">
        <w:rPr>
          <w:rFonts w:ascii="Verdana" w:hAnsi="Verdana"/>
          <w:sz w:val="20"/>
          <w:szCs w:val="20"/>
          <w:lang w:val="ro-RO"/>
        </w:rPr>
        <w:t>Semnătură: ....................................................</w:t>
      </w:r>
    </w:p>
    <w:p w14:paraId="75FFDB5A" w14:textId="14189494" w:rsidR="007A3211" w:rsidRPr="007A3211" w:rsidRDefault="007A3211" w:rsidP="007115CA">
      <w:pPr>
        <w:rPr>
          <w:rFonts w:ascii="Verdana" w:hAnsi="Verdana"/>
          <w:sz w:val="20"/>
          <w:szCs w:val="20"/>
          <w:lang w:val="ro-RO"/>
        </w:rPr>
      </w:pPr>
      <w:r w:rsidRPr="007A3211">
        <w:rPr>
          <w:rFonts w:ascii="Verdana" w:hAnsi="Verdana"/>
          <w:sz w:val="20"/>
          <w:szCs w:val="20"/>
          <w:lang w:val="ro-RO"/>
        </w:rPr>
        <w:t>Data</w:t>
      </w:r>
      <w:r>
        <w:rPr>
          <w:rFonts w:ascii="Verdana" w:hAnsi="Verdana"/>
          <w:sz w:val="20"/>
          <w:szCs w:val="20"/>
          <w:lang w:val="ro-RO"/>
        </w:rPr>
        <w:t xml:space="preserve"> </w:t>
      </w:r>
      <w:r w:rsidR="007115CA">
        <w:rPr>
          <w:rFonts w:ascii="Verdana" w:hAnsi="Verdana"/>
          <w:sz w:val="20"/>
          <w:szCs w:val="20"/>
          <w:lang w:val="ro-RO"/>
        </w:rPr>
        <w:t>întocmirii</w:t>
      </w:r>
      <w:r>
        <w:rPr>
          <w:rFonts w:ascii="Verdana" w:hAnsi="Verdana"/>
          <w:sz w:val="20"/>
          <w:szCs w:val="20"/>
          <w:lang w:val="ro-RO"/>
        </w:rPr>
        <w:t xml:space="preserve"> </w:t>
      </w:r>
      <w:r w:rsidRPr="007A3211">
        <w:rPr>
          <w:rFonts w:ascii="Verdana" w:hAnsi="Verdana"/>
          <w:sz w:val="20"/>
          <w:szCs w:val="20"/>
          <w:lang w:val="ro-RO"/>
        </w:rPr>
        <w:t>: ____ / ____ / _______</w:t>
      </w:r>
    </w:p>
    <w:p w14:paraId="1A70A9BC" w14:textId="77777777" w:rsidR="00D433B9" w:rsidRPr="000B36B8" w:rsidRDefault="00D433B9">
      <w:pPr>
        <w:rPr>
          <w:rFonts w:ascii="Verdana" w:hAnsi="Verdana"/>
          <w:sz w:val="20"/>
          <w:szCs w:val="20"/>
          <w:lang w:val="ro-RO"/>
        </w:rPr>
      </w:pPr>
    </w:p>
    <w:sectPr w:rsidR="00D433B9" w:rsidRPr="000B36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82E39" w14:textId="77777777" w:rsidR="00DC01AA" w:rsidRDefault="00DC01AA" w:rsidP="004A7094">
      <w:pPr>
        <w:spacing w:after="0" w:line="240" w:lineRule="auto"/>
      </w:pPr>
      <w:r>
        <w:separator/>
      </w:r>
    </w:p>
  </w:endnote>
  <w:endnote w:type="continuationSeparator" w:id="0">
    <w:p w14:paraId="5709F2F3" w14:textId="77777777" w:rsidR="00DC01AA" w:rsidRDefault="00DC01AA" w:rsidP="004A7094">
      <w:pPr>
        <w:spacing w:after="0" w:line="240" w:lineRule="auto"/>
      </w:pPr>
      <w:r>
        <w:continuationSeparator/>
      </w:r>
    </w:p>
  </w:endnote>
  <w:endnote w:type="continuationNotice" w:id="1">
    <w:p w14:paraId="074EB4AC" w14:textId="77777777" w:rsidR="00DC01AA" w:rsidRDefault="00DC01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5FB7D" w14:textId="77777777" w:rsidR="005C4607" w:rsidRDefault="005C46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F7AB9" w14:textId="77777777" w:rsidR="0003762A" w:rsidRDefault="0078155C" w:rsidP="0003762A">
    <w:pPr>
      <w:pStyle w:val="Footer"/>
      <w:tabs>
        <w:tab w:val="clear" w:pos="4513"/>
      </w:tabs>
    </w:pPr>
    <w:r>
      <w:rPr>
        <w:noProof/>
        <w:lang w:val="en-US"/>
      </w:rPr>
      <w:drawing>
        <wp:anchor distT="0" distB="0" distL="114300" distR="114300" simplePos="0" relativeHeight="251658245" behindDoc="1" locked="0" layoutInCell="1" allowOverlap="1" wp14:anchorId="4AEC631C" wp14:editId="5CAAACEE">
          <wp:simplePos x="0" y="0"/>
          <wp:positionH relativeFrom="column">
            <wp:posOffset>933450</wp:posOffset>
          </wp:positionH>
          <wp:positionV relativeFrom="paragraph">
            <wp:posOffset>4445</wp:posOffset>
          </wp:positionV>
          <wp:extent cx="916305" cy="647065"/>
          <wp:effectExtent l="0" t="0" r="0" b="0"/>
          <wp:wrapTight wrapText="bothSides">
            <wp:wrapPolygon edited="0">
              <wp:start x="8981" y="3816"/>
              <wp:lineTo x="6736" y="6359"/>
              <wp:lineTo x="6287" y="11447"/>
              <wp:lineTo x="7634" y="15262"/>
              <wp:lineTo x="8981" y="17170"/>
              <wp:lineTo x="12125" y="17170"/>
              <wp:lineTo x="13472" y="15262"/>
              <wp:lineTo x="14819" y="10811"/>
              <wp:lineTo x="14370" y="6359"/>
              <wp:lineTo x="12125" y="3816"/>
              <wp:lineTo x="8981" y="3816"/>
            </wp:wrapPolygon>
          </wp:wrapTight>
          <wp:docPr id="438094561" name="Picture 7" descr="A blue and white logo with a eagle and a coat of arm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094561" name="Picture 7" descr="A blue and white logo with a eagle and a coat of arm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6305" cy="647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762A">
      <w:rPr>
        <w:noProof/>
        <w:lang w:val="en-US"/>
      </w:rPr>
      <w:drawing>
        <wp:anchor distT="0" distB="0" distL="114300" distR="114300" simplePos="0" relativeHeight="251658242" behindDoc="1" locked="0" layoutInCell="1" allowOverlap="1" wp14:anchorId="297B3902" wp14:editId="1E39BD2C">
          <wp:simplePos x="0" y="0"/>
          <wp:positionH relativeFrom="page">
            <wp:align>right</wp:align>
          </wp:positionH>
          <wp:positionV relativeFrom="paragraph">
            <wp:posOffset>-167005</wp:posOffset>
          </wp:positionV>
          <wp:extent cx="1282700" cy="951230"/>
          <wp:effectExtent l="0" t="0" r="0" b="1270"/>
          <wp:wrapTight wrapText="bothSides">
            <wp:wrapPolygon edited="0">
              <wp:start x="1069" y="21600"/>
              <wp:lineTo x="6202" y="14246"/>
              <wp:lineTo x="11655" y="12516"/>
              <wp:lineTo x="16147" y="9488"/>
              <wp:lineTo x="16147" y="7325"/>
              <wp:lineTo x="21279" y="404"/>
              <wp:lineTo x="14863" y="404"/>
              <wp:lineTo x="12939" y="404"/>
              <wp:lineTo x="4598" y="6027"/>
              <wp:lineTo x="4598" y="7325"/>
              <wp:lineTo x="428" y="13381"/>
              <wp:lineTo x="428" y="21600"/>
              <wp:lineTo x="1069" y="21600"/>
            </wp:wrapPolygon>
          </wp:wrapTight>
          <wp:docPr id="1617380001" name="Picture 9" descr="A blue and green rectangle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380001" name="Picture 9" descr="A blue and green rectangle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1282700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762A">
      <w:rPr>
        <w:noProof/>
        <w:lang w:val="en-US"/>
      </w:rPr>
      <w:drawing>
        <wp:anchor distT="0" distB="0" distL="114300" distR="114300" simplePos="0" relativeHeight="251658244" behindDoc="1" locked="0" layoutInCell="1" allowOverlap="1" wp14:anchorId="14D4DCCE" wp14:editId="2D94DA6C">
          <wp:simplePos x="0" y="0"/>
          <wp:positionH relativeFrom="column">
            <wp:posOffset>0</wp:posOffset>
          </wp:positionH>
          <wp:positionV relativeFrom="paragraph">
            <wp:posOffset>-13970</wp:posOffset>
          </wp:positionV>
          <wp:extent cx="933450" cy="658495"/>
          <wp:effectExtent l="0" t="0" r="0" b="0"/>
          <wp:wrapTight wrapText="bothSides">
            <wp:wrapPolygon edited="0">
              <wp:start x="0" y="5624"/>
              <wp:lineTo x="0" y="15622"/>
              <wp:lineTo x="8816" y="15622"/>
              <wp:lineTo x="20718" y="14372"/>
              <wp:lineTo x="20718" y="8748"/>
              <wp:lineTo x="8816" y="5624"/>
              <wp:lineTo x="0" y="5624"/>
            </wp:wrapPolygon>
          </wp:wrapTight>
          <wp:docPr id="1133340230" name="Picture 6" descr="A blue flag with yellow stars o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3340230" name="Picture 6" descr="A blue flag with yellow stars on it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3450" cy="658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762A">
      <w:rPr>
        <w:noProof/>
        <w:lang w:val="en-US"/>
      </w:rPr>
      <w:drawing>
        <wp:anchor distT="0" distB="0" distL="114300" distR="114300" simplePos="0" relativeHeight="251658243" behindDoc="1" locked="0" layoutInCell="1" allowOverlap="1" wp14:anchorId="543FB979" wp14:editId="5DB40505">
          <wp:simplePos x="0" y="0"/>
          <wp:positionH relativeFrom="column">
            <wp:posOffset>1847850</wp:posOffset>
          </wp:positionH>
          <wp:positionV relativeFrom="paragraph">
            <wp:posOffset>-8890</wp:posOffset>
          </wp:positionV>
          <wp:extent cx="944245" cy="666115"/>
          <wp:effectExtent l="0" t="0" r="0" b="0"/>
          <wp:wrapTight wrapText="bothSides">
            <wp:wrapPolygon edited="0">
              <wp:start x="0" y="6795"/>
              <wp:lineTo x="0" y="14208"/>
              <wp:lineTo x="4794" y="14208"/>
              <wp:lineTo x="20917" y="12972"/>
              <wp:lineTo x="20917" y="8031"/>
              <wp:lineTo x="4794" y="6795"/>
              <wp:lineTo x="0" y="6795"/>
            </wp:wrapPolygon>
          </wp:wrapTight>
          <wp:docPr id="1267096623" name="Picture 8" descr="A blue yellow and red arrow with a blue and red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7096623" name="Picture 8" descr="A blue yellow and red arrow with a blue and red arrow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4245" cy="666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762A">
      <w:tab/>
    </w:r>
  </w:p>
  <w:p w14:paraId="4563EB44" w14:textId="77777777" w:rsidR="004A7094" w:rsidRDefault="004A7094" w:rsidP="004A70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FF532" w14:textId="77777777" w:rsidR="005C4607" w:rsidRDefault="005C46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2CA43" w14:textId="77777777" w:rsidR="00DC01AA" w:rsidRDefault="00DC01AA" w:rsidP="004A7094">
      <w:pPr>
        <w:spacing w:after="0" w:line="240" w:lineRule="auto"/>
      </w:pPr>
      <w:r>
        <w:separator/>
      </w:r>
    </w:p>
  </w:footnote>
  <w:footnote w:type="continuationSeparator" w:id="0">
    <w:p w14:paraId="7E8DAE8E" w14:textId="77777777" w:rsidR="00DC01AA" w:rsidRDefault="00DC01AA" w:rsidP="004A7094">
      <w:pPr>
        <w:spacing w:after="0" w:line="240" w:lineRule="auto"/>
      </w:pPr>
      <w:r>
        <w:continuationSeparator/>
      </w:r>
    </w:p>
  </w:footnote>
  <w:footnote w:type="continuationNotice" w:id="1">
    <w:p w14:paraId="54A32E4D" w14:textId="77777777" w:rsidR="00DC01AA" w:rsidRDefault="00DC01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ACCF8" w14:textId="3F1F0C48" w:rsidR="004A7094" w:rsidRDefault="00EA2A3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7" behindDoc="0" locked="0" layoutInCell="1" allowOverlap="1" wp14:anchorId="2526FEB9" wp14:editId="272B6B0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23570" cy="357505"/>
              <wp:effectExtent l="0" t="0" r="0" b="4445"/>
              <wp:wrapNone/>
              <wp:docPr id="1817110301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357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6C6F2" w14:textId="430B2022" w:rsidR="00EA2A31" w:rsidRPr="00EA2A31" w:rsidRDefault="00EA2A31" w:rsidP="00EA2A3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A2A3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26FEB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-2.1pt;margin-top:0;width:49.1pt;height:28.15pt;z-index:251658247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" filled="f" stroked="f">
              <v:textbox style="mso-fit-shape-to-text:t" inset="0,15pt,20pt,0">
                <w:txbxContent>
                  <w:p w14:paraId="7406C6F2" w14:textId="430B2022" w:rsidR="00EA2A31" w:rsidRPr="00EA2A31" w:rsidRDefault="00EA2A31" w:rsidP="00EA2A3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A2A3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3691D" w14:textId="0CCA967B" w:rsidR="004A7094" w:rsidRDefault="00EA2A31" w:rsidP="004A7094">
    <w:pPr>
      <w:pStyle w:val="Header"/>
      <w:jc w:val="both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251658248" behindDoc="0" locked="0" layoutInCell="1" allowOverlap="1" wp14:anchorId="52FBA4CE" wp14:editId="24A67509">
              <wp:simplePos x="91440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623570" cy="357505"/>
              <wp:effectExtent l="0" t="0" r="0" b="4445"/>
              <wp:wrapNone/>
              <wp:docPr id="1381890855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357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7DD0F9" w14:textId="29C6B80D" w:rsidR="00EA2A31" w:rsidRPr="00EA2A31" w:rsidRDefault="00EA2A31" w:rsidP="00EA2A3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A2A3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FBA4C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left:0;text-align:left;margin-left:-2.1pt;margin-top:0;width:49.1pt;height:28.15pt;z-index:25165824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" filled="f" stroked="f">
              <v:textbox style="mso-fit-shape-to-text:t" inset="0,15pt,20pt,0">
                <w:txbxContent>
                  <w:p w14:paraId="447DD0F9" w14:textId="29C6B80D" w:rsidR="00EA2A31" w:rsidRPr="00EA2A31" w:rsidRDefault="00EA2A31" w:rsidP="00EA2A3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A2A3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22E02" w:rsidRPr="004A7094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0700BB34" wp14:editId="2B77B00D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1180465" cy="876300"/>
          <wp:effectExtent l="0" t="0" r="635" b="0"/>
          <wp:wrapSquare wrapText="bothSides"/>
          <wp:docPr id="1158589558" name="Picture 11">
            <a:extLst xmlns:a="http://schemas.openxmlformats.org/drawingml/2006/main">
              <a:ext uri="{FF2B5EF4-FFF2-40B4-BE49-F238E27FC236}">
                <a16:creationId xmlns:a16="http://schemas.microsoft.com/office/drawing/2014/main" id="{0343CA1C-72E9-9AFD-8AB6-7F64903119F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 descr="A blue and green rectangles&#10;&#10;Description automatically generated">
                    <a:extLst>
                      <a:ext uri="{FF2B5EF4-FFF2-40B4-BE49-F238E27FC236}">
                        <a16:creationId xmlns:a16="http://schemas.microsoft.com/office/drawing/2014/main" id="{0343CA1C-72E9-9AFD-8AB6-7F64903119F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046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633BC"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0CB14C01" wp14:editId="08BD6A14">
          <wp:simplePos x="0" y="0"/>
          <wp:positionH relativeFrom="margin">
            <wp:align>center</wp:align>
          </wp:positionH>
          <wp:positionV relativeFrom="paragraph">
            <wp:posOffset>-48895</wp:posOffset>
          </wp:positionV>
          <wp:extent cx="3333750" cy="476092"/>
          <wp:effectExtent l="0" t="0" r="0" b="635"/>
          <wp:wrapSquare wrapText="bothSides"/>
          <wp:docPr id="231624310" name="Picture 1" descr="A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624310" name="Picture 1" descr="A blue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476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0147D98" w14:textId="77777777" w:rsidR="004A7094" w:rsidRDefault="004A70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59438" w14:textId="12706246" w:rsidR="004A7094" w:rsidRDefault="00EA2A3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7C76D132" wp14:editId="5FE459E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23570" cy="357505"/>
              <wp:effectExtent l="0" t="0" r="0" b="4445"/>
              <wp:wrapNone/>
              <wp:docPr id="1892411688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357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19E3FF" w14:textId="454C82FB" w:rsidR="00EA2A31" w:rsidRPr="00EA2A31" w:rsidRDefault="00EA2A31" w:rsidP="00EA2A3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A2A3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76D1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-2.1pt;margin-top:0;width:49.1pt;height:28.15pt;z-index:25165824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" filled="f" stroked="f">
              <v:textbox style="mso-fit-shape-to-text:t" inset="0,15pt,20pt,0">
                <w:txbxContent>
                  <w:p w14:paraId="5D19E3FF" w14:textId="454C82FB" w:rsidR="00EA2A31" w:rsidRPr="00EA2A31" w:rsidRDefault="00EA2A31" w:rsidP="00EA2A3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A2A3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7516D7"/>
    <w:multiLevelType w:val="hybridMultilevel"/>
    <w:tmpl w:val="9F2E3A52"/>
    <w:lvl w:ilvl="0" w:tplc="B9CECCAE">
      <w:start w:val="1"/>
      <w:numFmt w:val="lowerLetter"/>
      <w:lvlText w:val="a)"/>
      <w:lvlJc w:val="left"/>
      <w:pPr>
        <w:ind w:left="720" w:hanging="360"/>
      </w:pPr>
    </w:lvl>
    <w:lvl w:ilvl="1" w:tplc="E6B2DDBE">
      <w:start w:val="1"/>
      <w:numFmt w:val="lowerLetter"/>
      <w:lvlText w:val="%2."/>
      <w:lvlJc w:val="left"/>
      <w:pPr>
        <w:ind w:left="1440" w:hanging="360"/>
      </w:pPr>
    </w:lvl>
    <w:lvl w:ilvl="2" w:tplc="845AD0FC">
      <w:start w:val="1"/>
      <w:numFmt w:val="lowerRoman"/>
      <w:lvlText w:val="%3."/>
      <w:lvlJc w:val="right"/>
      <w:pPr>
        <w:ind w:left="2160" w:hanging="180"/>
      </w:pPr>
    </w:lvl>
    <w:lvl w:ilvl="3" w:tplc="EB64E128">
      <w:start w:val="1"/>
      <w:numFmt w:val="decimal"/>
      <w:lvlText w:val="%4."/>
      <w:lvlJc w:val="left"/>
      <w:pPr>
        <w:ind w:left="2880" w:hanging="360"/>
      </w:pPr>
    </w:lvl>
    <w:lvl w:ilvl="4" w:tplc="66008DFC">
      <w:start w:val="1"/>
      <w:numFmt w:val="lowerLetter"/>
      <w:lvlText w:val="%5."/>
      <w:lvlJc w:val="left"/>
      <w:pPr>
        <w:ind w:left="3600" w:hanging="360"/>
      </w:pPr>
    </w:lvl>
    <w:lvl w:ilvl="5" w:tplc="A5C86F2A">
      <w:start w:val="1"/>
      <w:numFmt w:val="lowerRoman"/>
      <w:lvlText w:val="%6."/>
      <w:lvlJc w:val="right"/>
      <w:pPr>
        <w:ind w:left="4320" w:hanging="180"/>
      </w:pPr>
    </w:lvl>
    <w:lvl w:ilvl="6" w:tplc="31120330">
      <w:start w:val="1"/>
      <w:numFmt w:val="decimal"/>
      <w:lvlText w:val="%7."/>
      <w:lvlJc w:val="left"/>
      <w:pPr>
        <w:ind w:left="5040" w:hanging="360"/>
      </w:pPr>
    </w:lvl>
    <w:lvl w:ilvl="7" w:tplc="AD18217E">
      <w:start w:val="1"/>
      <w:numFmt w:val="lowerLetter"/>
      <w:lvlText w:val="%8."/>
      <w:lvlJc w:val="left"/>
      <w:pPr>
        <w:ind w:left="5760" w:hanging="360"/>
      </w:pPr>
    </w:lvl>
    <w:lvl w:ilvl="8" w:tplc="3EA83AF6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715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8C7"/>
    <w:rsid w:val="0003762A"/>
    <w:rsid w:val="00047F79"/>
    <w:rsid w:val="000547B1"/>
    <w:rsid w:val="00063C8D"/>
    <w:rsid w:val="000B36B8"/>
    <w:rsid w:val="000C20CA"/>
    <w:rsid w:val="000D563B"/>
    <w:rsid w:val="000E0EF8"/>
    <w:rsid w:val="000F7B09"/>
    <w:rsid w:val="00132DCE"/>
    <w:rsid w:val="00145370"/>
    <w:rsid w:val="00160EAC"/>
    <w:rsid w:val="001E2C3C"/>
    <w:rsid w:val="0020091B"/>
    <w:rsid w:val="00235A88"/>
    <w:rsid w:val="00254D2B"/>
    <w:rsid w:val="00262051"/>
    <w:rsid w:val="00275681"/>
    <w:rsid w:val="00290E5C"/>
    <w:rsid w:val="002B1676"/>
    <w:rsid w:val="002E7DB5"/>
    <w:rsid w:val="00303C87"/>
    <w:rsid w:val="00314EF0"/>
    <w:rsid w:val="0035433B"/>
    <w:rsid w:val="003B4A7E"/>
    <w:rsid w:val="003E09CF"/>
    <w:rsid w:val="003F3A12"/>
    <w:rsid w:val="00400C3D"/>
    <w:rsid w:val="0040202C"/>
    <w:rsid w:val="00420BD7"/>
    <w:rsid w:val="004276C9"/>
    <w:rsid w:val="004405D1"/>
    <w:rsid w:val="00441029"/>
    <w:rsid w:val="004630FD"/>
    <w:rsid w:val="00483BE1"/>
    <w:rsid w:val="004A0733"/>
    <w:rsid w:val="004A540E"/>
    <w:rsid w:val="004A7094"/>
    <w:rsid w:val="004B5070"/>
    <w:rsid w:val="004E23B4"/>
    <w:rsid w:val="005119E2"/>
    <w:rsid w:val="005219EB"/>
    <w:rsid w:val="0052353F"/>
    <w:rsid w:val="00525233"/>
    <w:rsid w:val="005443B7"/>
    <w:rsid w:val="0055148F"/>
    <w:rsid w:val="00574935"/>
    <w:rsid w:val="005B18C9"/>
    <w:rsid w:val="005C4607"/>
    <w:rsid w:val="005C564E"/>
    <w:rsid w:val="005D12E8"/>
    <w:rsid w:val="005D5E04"/>
    <w:rsid w:val="005F18AD"/>
    <w:rsid w:val="006039C4"/>
    <w:rsid w:val="006126A2"/>
    <w:rsid w:val="006246DC"/>
    <w:rsid w:val="0064295C"/>
    <w:rsid w:val="006546C1"/>
    <w:rsid w:val="006D169D"/>
    <w:rsid w:val="006D47AB"/>
    <w:rsid w:val="006D7FE8"/>
    <w:rsid w:val="006E53C3"/>
    <w:rsid w:val="007115CA"/>
    <w:rsid w:val="007211D9"/>
    <w:rsid w:val="007274D6"/>
    <w:rsid w:val="00733DB9"/>
    <w:rsid w:val="0073552B"/>
    <w:rsid w:val="0075030C"/>
    <w:rsid w:val="00755D91"/>
    <w:rsid w:val="0078155C"/>
    <w:rsid w:val="007A3211"/>
    <w:rsid w:val="007B1A69"/>
    <w:rsid w:val="007B2092"/>
    <w:rsid w:val="007E3796"/>
    <w:rsid w:val="008057BE"/>
    <w:rsid w:val="00821603"/>
    <w:rsid w:val="00861EE7"/>
    <w:rsid w:val="008927F9"/>
    <w:rsid w:val="008A0774"/>
    <w:rsid w:val="008B019F"/>
    <w:rsid w:val="008B410C"/>
    <w:rsid w:val="008C0F9C"/>
    <w:rsid w:val="00935F52"/>
    <w:rsid w:val="009658F2"/>
    <w:rsid w:val="00990F01"/>
    <w:rsid w:val="00993818"/>
    <w:rsid w:val="00A32846"/>
    <w:rsid w:val="00A3598E"/>
    <w:rsid w:val="00A633BC"/>
    <w:rsid w:val="00A97AF4"/>
    <w:rsid w:val="00B00E6F"/>
    <w:rsid w:val="00B1176C"/>
    <w:rsid w:val="00B21625"/>
    <w:rsid w:val="00B220D7"/>
    <w:rsid w:val="00B36311"/>
    <w:rsid w:val="00B528C7"/>
    <w:rsid w:val="00B6736C"/>
    <w:rsid w:val="00B843B9"/>
    <w:rsid w:val="00B857D7"/>
    <w:rsid w:val="00B94D08"/>
    <w:rsid w:val="00BB11D2"/>
    <w:rsid w:val="00BE74DA"/>
    <w:rsid w:val="00C14894"/>
    <w:rsid w:val="00C625BD"/>
    <w:rsid w:val="00C768D0"/>
    <w:rsid w:val="00C77687"/>
    <w:rsid w:val="00C866E6"/>
    <w:rsid w:val="00C96667"/>
    <w:rsid w:val="00C96D9A"/>
    <w:rsid w:val="00CC29DD"/>
    <w:rsid w:val="00CC445C"/>
    <w:rsid w:val="00CC4D07"/>
    <w:rsid w:val="00CE748E"/>
    <w:rsid w:val="00D36EFF"/>
    <w:rsid w:val="00D433B9"/>
    <w:rsid w:val="00D466FD"/>
    <w:rsid w:val="00D667A7"/>
    <w:rsid w:val="00D879D8"/>
    <w:rsid w:val="00D95144"/>
    <w:rsid w:val="00DB06AE"/>
    <w:rsid w:val="00DC01AA"/>
    <w:rsid w:val="00DD71D5"/>
    <w:rsid w:val="00DF1556"/>
    <w:rsid w:val="00DF4D2F"/>
    <w:rsid w:val="00E15420"/>
    <w:rsid w:val="00E22E02"/>
    <w:rsid w:val="00E714C3"/>
    <w:rsid w:val="00E85136"/>
    <w:rsid w:val="00E864A8"/>
    <w:rsid w:val="00EA2A31"/>
    <w:rsid w:val="00EC35D4"/>
    <w:rsid w:val="00EE1E9F"/>
    <w:rsid w:val="00EF2E04"/>
    <w:rsid w:val="00F34B1B"/>
    <w:rsid w:val="00F57BDF"/>
    <w:rsid w:val="00F945CE"/>
    <w:rsid w:val="00FD7127"/>
    <w:rsid w:val="033C4E5C"/>
    <w:rsid w:val="119E09BC"/>
    <w:rsid w:val="18134439"/>
    <w:rsid w:val="236CE762"/>
    <w:rsid w:val="269FFFB7"/>
    <w:rsid w:val="26CE317B"/>
    <w:rsid w:val="29F413F2"/>
    <w:rsid w:val="2AD4892E"/>
    <w:rsid w:val="2B8E40BE"/>
    <w:rsid w:val="2F305F1A"/>
    <w:rsid w:val="33CF7A44"/>
    <w:rsid w:val="35205A9F"/>
    <w:rsid w:val="38B4FC7A"/>
    <w:rsid w:val="3BFF3097"/>
    <w:rsid w:val="45F47726"/>
    <w:rsid w:val="50FA07B8"/>
    <w:rsid w:val="551FFDEE"/>
    <w:rsid w:val="5588CB7E"/>
    <w:rsid w:val="58E4A69C"/>
    <w:rsid w:val="5A5F0BB9"/>
    <w:rsid w:val="5C966AA5"/>
    <w:rsid w:val="5CEC46F4"/>
    <w:rsid w:val="5D25988B"/>
    <w:rsid w:val="5E3CED9F"/>
    <w:rsid w:val="5F747F66"/>
    <w:rsid w:val="620370FF"/>
    <w:rsid w:val="647E1A39"/>
    <w:rsid w:val="65CA86DE"/>
    <w:rsid w:val="70C45EE7"/>
    <w:rsid w:val="71B6056E"/>
    <w:rsid w:val="71F284B5"/>
    <w:rsid w:val="7225A35F"/>
    <w:rsid w:val="736980C0"/>
    <w:rsid w:val="741D2F33"/>
    <w:rsid w:val="743D3F1C"/>
    <w:rsid w:val="770E4BA5"/>
    <w:rsid w:val="7717B53A"/>
    <w:rsid w:val="7CB5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A419E"/>
  <w15:chartTrackingRefBased/>
  <w15:docId w15:val="{38CF73E7-DCD1-4317-AF53-D0A445B47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70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0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0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0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0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0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0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0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0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0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0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0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0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0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0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0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0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0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0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0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0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0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0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0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0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0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0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0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09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A70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094"/>
  </w:style>
  <w:style w:type="paragraph" w:styleId="Footer">
    <w:name w:val="footer"/>
    <w:basedOn w:val="Normal"/>
    <w:link w:val="FooterChar"/>
    <w:uiPriority w:val="99"/>
    <w:unhideWhenUsed/>
    <w:rsid w:val="004A70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094"/>
  </w:style>
  <w:style w:type="paragraph" w:styleId="Revision">
    <w:name w:val="Revision"/>
    <w:hidden/>
    <w:uiPriority w:val="99"/>
    <w:semiHidden/>
    <w:rsid w:val="005F18AD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2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3908</Characters>
  <Application>Microsoft Office Word</Application>
  <DocSecurity>0</DocSecurity>
  <Lines>139</Lines>
  <Paragraphs>68</Paragraphs>
  <ScaleCrop>false</ScaleCrop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Chelaru</dc:creator>
  <cp:keywords/>
  <dc:description/>
  <cp:lastModifiedBy>Ramona Chelaru</cp:lastModifiedBy>
  <cp:revision>2</cp:revision>
  <dcterms:created xsi:type="dcterms:W3CDTF">2025-05-06T15:49:00Z</dcterms:created>
  <dcterms:modified xsi:type="dcterms:W3CDTF">2025-05-06T15:49:00Z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70cbe928,6c4ee71d,525dfb27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b5a5aa0a-2a1e-4537-b894-3e1d63d74070_Enabled">
    <vt:lpwstr>true</vt:lpwstr>
  </property>
  <property fmtid="{D5CDD505-2E9C-101B-9397-08002B2CF9AE}" pid="6" name="MSIP_Label_b5a5aa0a-2a1e-4537-b894-3e1d63d74070_SetDate">
    <vt:lpwstr>2024-10-16T07:08:13Z</vt:lpwstr>
  </property>
  <property fmtid="{D5CDD505-2E9C-101B-9397-08002B2CF9AE}" pid="7" name="MSIP_Label_b5a5aa0a-2a1e-4537-b894-3e1d63d74070_Method">
    <vt:lpwstr>Privileged</vt:lpwstr>
  </property>
  <property fmtid="{D5CDD505-2E9C-101B-9397-08002B2CF9AE}" pid="8" name="MSIP_Label_b5a5aa0a-2a1e-4537-b894-3e1d63d74070_Name">
    <vt:lpwstr>PUBLIC</vt:lpwstr>
  </property>
  <property fmtid="{D5CDD505-2E9C-101B-9397-08002B2CF9AE}" pid="9" name="MSIP_Label_b5a5aa0a-2a1e-4537-b894-3e1d63d74070_SiteId">
    <vt:lpwstr>7dada173-7cf7-437c-bdd2-9d02ad8dccd6</vt:lpwstr>
  </property>
  <property fmtid="{D5CDD505-2E9C-101B-9397-08002B2CF9AE}" pid="10" name="MSIP_Label_b5a5aa0a-2a1e-4537-b894-3e1d63d74070_ActionId">
    <vt:lpwstr>850f128a-49ee-4e0d-b2e8-a124a4f5debc</vt:lpwstr>
  </property>
  <property fmtid="{D5CDD505-2E9C-101B-9397-08002B2CF9AE}" pid="11" name="MSIP_Label_b5a5aa0a-2a1e-4537-b894-3e1d63d74070_ContentBits">
    <vt:lpwstr>1</vt:lpwstr>
  </property>
</Properties>
</file>